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4A" w:rsidRDefault="004D6C4A" w:rsidP="004D6C4A">
      <w:pPr>
        <w:spacing w:before="120" w:after="120"/>
        <w:ind w:firstLine="567"/>
        <w:jc w:val="both"/>
        <w:rPr>
          <w:b/>
        </w:rPr>
      </w:pPr>
      <w:r w:rsidRPr="00226F89">
        <w:rPr>
          <w:b/>
          <w:lang w:val="nl-NL"/>
        </w:rPr>
        <w:t>1.</w:t>
      </w:r>
      <w:r w:rsidRPr="00226F89">
        <w:rPr>
          <w:lang w:val="nl-NL"/>
        </w:rPr>
        <w:t xml:space="preserve"> </w:t>
      </w:r>
      <w:r w:rsidRPr="00055527">
        <w:rPr>
          <w:b/>
        </w:rPr>
        <w:t>Thủ tục công bố sử dụng dấu định lượng</w:t>
      </w:r>
      <w:r>
        <w:rPr>
          <w:b/>
        </w:rPr>
        <w:t xml:space="preserve"> (2.000212.000.00.00.H50)</w:t>
      </w:r>
    </w:p>
    <w:p w:rsidR="004D6C4A" w:rsidRPr="00CF7241" w:rsidRDefault="004D6C4A" w:rsidP="004D6C4A">
      <w:pPr>
        <w:spacing w:before="60" w:after="60"/>
        <w:ind w:firstLine="567"/>
        <w:jc w:val="both"/>
        <w:rPr>
          <w:b/>
          <w:bCs/>
        </w:rPr>
      </w:pPr>
      <w:r w:rsidRPr="00CF7241">
        <w:rPr>
          <w:b/>
          <w:bCs/>
        </w:rPr>
        <w:t>a) Trình tự thực hiện</w:t>
      </w:r>
    </w:p>
    <w:p w:rsidR="004D6C4A" w:rsidRPr="00CF7241" w:rsidRDefault="004D6C4A" w:rsidP="004D6C4A">
      <w:pPr>
        <w:pStyle w:val="NormalWeb"/>
        <w:spacing w:before="60" w:beforeAutospacing="0" w:after="60" w:afterAutospacing="0"/>
        <w:ind w:firstLine="567"/>
        <w:jc w:val="both"/>
        <w:textAlignment w:val="baseline"/>
        <w:rPr>
          <w:sz w:val="28"/>
          <w:szCs w:val="28"/>
        </w:rPr>
      </w:pPr>
      <w:r w:rsidRPr="00CF7241">
        <w:rPr>
          <w:rStyle w:val="Emphasis"/>
          <w:b/>
          <w:sz w:val="28"/>
          <w:szCs w:val="28"/>
          <w:bdr w:val="none" w:sz="0" w:space="0" w:color="auto" w:frame="1"/>
        </w:rPr>
        <w:t>Bước 1:</w:t>
      </w:r>
      <w:r w:rsidRPr="00CF7241">
        <w:rPr>
          <w:sz w:val="28"/>
          <w:szCs w:val="28"/>
        </w:rPr>
        <w:t> Tiếp nhận hồ sơ</w:t>
      </w:r>
    </w:p>
    <w:p w:rsidR="004D6C4A" w:rsidRPr="00CF7241" w:rsidRDefault="004D6C4A" w:rsidP="004D6C4A">
      <w:pPr>
        <w:pStyle w:val="NormalWeb"/>
        <w:spacing w:before="60" w:beforeAutospacing="0" w:after="60" w:afterAutospacing="0"/>
        <w:ind w:firstLine="567"/>
        <w:jc w:val="both"/>
        <w:textAlignment w:val="baseline"/>
        <w:rPr>
          <w:sz w:val="28"/>
          <w:szCs w:val="28"/>
        </w:rPr>
      </w:pPr>
      <w:r w:rsidRPr="00CF7241">
        <w:rPr>
          <w:sz w:val="28"/>
          <w:szCs w:val="28"/>
        </w:rPr>
        <w:t>Cơ sở sử dụng dấu định lượng nộp bản công bố sử dụng dấu định lượng trên nhãn hàng đóng gói sẵn tại Trung tâm Phục vụ Hành chính công Quảng Trị.</w:t>
      </w:r>
    </w:p>
    <w:p w:rsidR="004D6C4A" w:rsidRPr="00CF7241" w:rsidRDefault="004D6C4A" w:rsidP="004D6C4A">
      <w:pPr>
        <w:pStyle w:val="NormalWeb"/>
        <w:spacing w:before="60" w:beforeAutospacing="0" w:after="60" w:afterAutospacing="0"/>
        <w:ind w:firstLine="567"/>
        <w:jc w:val="both"/>
        <w:textAlignment w:val="baseline"/>
        <w:rPr>
          <w:sz w:val="28"/>
          <w:szCs w:val="28"/>
        </w:rPr>
      </w:pPr>
      <w:r w:rsidRPr="00CF7241">
        <w:rPr>
          <w:rStyle w:val="Emphasis"/>
          <w:b/>
          <w:sz w:val="28"/>
          <w:szCs w:val="28"/>
          <w:bdr w:val="none" w:sz="0" w:space="0" w:color="auto" w:frame="1"/>
        </w:rPr>
        <w:t>Bước</w:t>
      </w:r>
      <w:r>
        <w:rPr>
          <w:rStyle w:val="Emphasis"/>
          <w:b/>
          <w:sz w:val="28"/>
          <w:szCs w:val="28"/>
          <w:bdr w:val="none" w:sz="0" w:space="0" w:color="auto" w:frame="1"/>
        </w:rPr>
        <w:t xml:space="preserve"> </w:t>
      </w:r>
      <w:r w:rsidRPr="00CF7241">
        <w:rPr>
          <w:rStyle w:val="Emphasis"/>
          <w:b/>
          <w:sz w:val="28"/>
          <w:szCs w:val="28"/>
          <w:bdr w:val="none" w:sz="0" w:space="0" w:color="auto" w:frame="1"/>
        </w:rPr>
        <w:t>2 :</w:t>
      </w:r>
      <w:r w:rsidRPr="00CF7241">
        <w:rPr>
          <w:sz w:val="28"/>
          <w:szCs w:val="28"/>
        </w:rPr>
        <w:t> Xử lý hồ sơ</w:t>
      </w:r>
    </w:p>
    <w:p w:rsidR="004D6C4A" w:rsidRPr="00CF7241" w:rsidRDefault="004D6C4A" w:rsidP="004D6C4A">
      <w:pPr>
        <w:pStyle w:val="NormalWeb"/>
        <w:spacing w:before="60" w:beforeAutospacing="0" w:after="60" w:afterAutospacing="0"/>
        <w:ind w:firstLine="567"/>
        <w:jc w:val="both"/>
        <w:textAlignment w:val="baseline"/>
        <w:rPr>
          <w:sz w:val="28"/>
          <w:szCs w:val="28"/>
        </w:rPr>
      </w:pPr>
      <w:r w:rsidRPr="00CF7241">
        <w:rPr>
          <w:sz w:val="28"/>
          <w:szCs w:val="28"/>
        </w:rPr>
        <w:t>- Chi cục Tiêu chuẩn Đo lường Chất lượng Quảng Trị (sau đây viết tắt là Chi cục) xử lý hồ sơ, xem xét, thẩm định theo quy định:</w:t>
      </w:r>
    </w:p>
    <w:p w:rsidR="004D6C4A" w:rsidRPr="00CF7241" w:rsidRDefault="004D6C4A" w:rsidP="004D6C4A">
      <w:pPr>
        <w:pStyle w:val="NormalWeb"/>
        <w:spacing w:before="60" w:beforeAutospacing="0" w:after="60" w:afterAutospacing="0"/>
        <w:ind w:firstLine="567"/>
        <w:jc w:val="both"/>
        <w:textAlignment w:val="baseline"/>
        <w:rPr>
          <w:sz w:val="28"/>
          <w:szCs w:val="28"/>
        </w:rPr>
      </w:pPr>
      <w:r w:rsidRPr="00CF7241">
        <w:rPr>
          <w:sz w:val="28"/>
          <w:szCs w:val="28"/>
        </w:rPr>
        <w:t>+ Nếu hồ sơ chưa đúng quy định, Chi cục có văn bản yêu cầu bổ sung hồ sơ.</w:t>
      </w:r>
    </w:p>
    <w:p w:rsidR="004D6C4A" w:rsidRPr="00CF7241" w:rsidRDefault="004D6C4A" w:rsidP="004D6C4A">
      <w:pPr>
        <w:pStyle w:val="NormalWeb"/>
        <w:spacing w:before="60" w:beforeAutospacing="0" w:after="60" w:afterAutospacing="0"/>
        <w:ind w:firstLine="567"/>
        <w:jc w:val="both"/>
        <w:textAlignment w:val="baseline"/>
        <w:rPr>
          <w:sz w:val="28"/>
          <w:szCs w:val="28"/>
        </w:rPr>
      </w:pPr>
      <w:r w:rsidRPr="00CF7241">
        <w:rPr>
          <w:sz w:val="28"/>
          <w:szCs w:val="28"/>
        </w:rPr>
        <w:t>+ Nếu hồ sơ đúng quy định, Chi cục ký xác nhận, đóng dấu tiếp nhận vào bản công bố của cơ sở.</w:t>
      </w:r>
    </w:p>
    <w:p w:rsidR="004D6C4A" w:rsidRDefault="004D6C4A" w:rsidP="004D6C4A">
      <w:pPr>
        <w:spacing w:before="120" w:after="120"/>
        <w:ind w:firstLine="567"/>
        <w:jc w:val="both"/>
      </w:pPr>
      <w:r w:rsidRPr="00CF7241">
        <w:rPr>
          <w:rStyle w:val="Emphasis"/>
          <w:b/>
          <w:bdr w:val="none" w:sz="0" w:space="0" w:color="auto" w:frame="1"/>
        </w:rPr>
        <w:t>Bước 3:</w:t>
      </w:r>
      <w:r w:rsidRPr="00CF7241">
        <w:t xml:space="preserve"> Trả kết quả </w:t>
      </w:r>
    </w:p>
    <w:p w:rsidR="004D6C4A" w:rsidRPr="00CF7241" w:rsidRDefault="004D6C4A" w:rsidP="004D6C4A">
      <w:pPr>
        <w:spacing w:before="60" w:after="60"/>
        <w:ind w:firstLine="567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b) </w:t>
      </w:r>
      <w:r w:rsidRPr="00CF7241">
        <w:rPr>
          <w:b/>
          <w:bCs/>
          <w:sz w:val="27"/>
          <w:szCs w:val="27"/>
        </w:rPr>
        <w:t>Cách thức thực hiện</w:t>
      </w:r>
    </w:p>
    <w:p w:rsidR="004D6C4A" w:rsidRPr="00CF7241" w:rsidRDefault="004D6C4A" w:rsidP="004D6C4A">
      <w:pPr>
        <w:pStyle w:val="NormalWeb"/>
        <w:spacing w:before="60" w:beforeAutospacing="0" w:after="60" w:afterAutospacing="0"/>
        <w:ind w:firstLine="567"/>
        <w:jc w:val="both"/>
        <w:textAlignment w:val="baseline"/>
        <w:rPr>
          <w:sz w:val="27"/>
          <w:szCs w:val="27"/>
        </w:rPr>
      </w:pPr>
      <w:r w:rsidRPr="00CF7241">
        <w:rPr>
          <w:sz w:val="27"/>
          <w:szCs w:val="27"/>
        </w:rPr>
        <w:t>- Nộp hồ sơ qua đường bưu điện hoặc nộp trực tiếp tại Trung tâm Phục vụ Hành chính công Quảng Trị.</w:t>
      </w:r>
    </w:p>
    <w:p w:rsidR="004D6C4A" w:rsidRDefault="004D6C4A" w:rsidP="004D6C4A">
      <w:pPr>
        <w:spacing w:before="120" w:after="120"/>
        <w:ind w:firstLine="567"/>
        <w:jc w:val="both"/>
        <w:rPr>
          <w:sz w:val="27"/>
          <w:szCs w:val="27"/>
        </w:rPr>
      </w:pPr>
      <w:r w:rsidRPr="00CF7241">
        <w:rPr>
          <w:sz w:val="27"/>
          <w:szCs w:val="27"/>
        </w:rPr>
        <w:t>- Trả kết quả tại Trung tâm Phục vụ hành chính công tỉnh Quảng Trị hoặc qua đường bưu điện..</w:t>
      </w:r>
    </w:p>
    <w:p w:rsidR="004D6C4A" w:rsidRPr="00CF7241" w:rsidRDefault="004D6C4A" w:rsidP="004D6C4A">
      <w:pPr>
        <w:spacing w:before="60" w:after="60"/>
        <w:ind w:firstLine="567"/>
        <w:jc w:val="both"/>
        <w:rPr>
          <w:b/>
          <w:bCs/>
          <w:sz w:val="27"/>
          <w:szCs w:val="27"/>
        </w:rPr>
      </w:pPr>
      <w:r>
        <w:rPr>
          <w:b/>
          <w:sz w:val="27"/>
          <w:szCs w:val="27"/>
        </w:rPr>
        <w:t xml:space="preserve">c) </w:t>
      </w:r>
      <w:r w:rsidRPr="00CF7241">
        <w:rPr>
          <w:b/>
          <w:sz w:val="27"/>
          <w:szCs w:val="27"/>
        </w:rPr>
        <w:t>Thành phần, số lượng hồ sơ:</w:t>
      </w:r>
    </w:p>
    <w:p w:rsidR="004D6C4A" w:rsidRDefault="004D6C4A" w:rsidP="004D6C4A">
      <w:pPr>
        <w:spacing w:before="120" w:after="120"/>
        <w:ind w:firstLine="567"/>
        <w:jc w:val="both"/>
        <w:rPr>
          <w:sz w:val="27"/>
          <w:szCs w:val="27"/>
        </w:rPr>
      </w:pPr>
      <w:r w:rsidRPr="00CF7241">
        <w:rPr>
          <w:b/>
          <w:bCs/>
          <w:i/>
          <w:sz w:val="27"/>
          <w:szCs w:val="27"/>
        </w:rPr>
        <w:t>Thành phẩn hồ sơ</w:t>
      </w:r>
      <w:r w:rsidRPr="00CF7241">
        <w:rPr>
          <w:bCs/>
          <w:sz w:val="27"/>
          <w:szCs w:val="27"/>
        </w:rPr>
        <w:t>:</w:t>
      </w:r>
      <w:r w:rsidRPr="00CF7241">
        <w:rPr>
          <w:sz w:val="27"/>
          <w:szCs w:val="27"/>
        </w:rPr>
        <w:t xml:space="preserve"> Bản công bố sử dụng dấu định lượng trên nhãn hàng đóng gói sẵn </w:t>
      </w:r>
    </w:p>
    <w:p w:rsidR="004D6C4A" w:rsidRDefault="004D6C4A" w:rsidP="004D6C4A">
      <w:pPr>
        <w:spacing w:before="120" w:after="120"/>
        <w:ind w:firstLine="567"/>
        <w:jc w:val="both"/>
        <w:rPr>
          <w:bCs/>
          <w:sz w:val="27"/>
          <w:szCs w:val="27"/>
        </w:rPr>
      </w:pPr>
      <w:r w:rsidRPr="00CF7241">
        <w:rPr>
          <w:b/>
          <w:bCs/>
          <w:i/>
          <w:sz w:val="27"/>
          <w:szCs w:val="27"/>
        </w:rPr>
        <w:t>Số lượng hồ sơ</w:t>
      </w:r>
      <w:r w:rsidRPr="00CF7241">
        <w:rPr>
          <w:bCs/>
          <w:sz w:val="27"/>
          <w:szCs w:val="27"/>
        </w:rPr>
        <w:t>: 01 bộ</w:t>
      </w:r>
    </w:p>
    <w:p w:rsidR="004D6C4A" w:rsidRPr="00CF7241" w:rsidRDefault="004D6C4A" w:rsidP="004D6C4A">
      <w:pPr>
        <w:spacing w:before="60" w:after="60"/>
        <w:ind w:firstLine="567"/>
        <w:jc w:val="both"/>
        <w:rPr>
          <w:b/>
          <w:bCs/>
          <w:sz w:val="27"/>
          <w:szCs w:val="27"/>
        </w:rPr>
      </w:pPr>
      <w:r w:rsidRPr="00CF7241">
        <w:rPr>
          <w:b/>
          <w:bCs/>
          <w:sz w:val="27"/>
          <w:szCs w:val="27"/>
        </w:rPr>
        <w:t>d) Thời hạn giải quyết</w:t>
      </w:r>
    </w:p>
    <w:p w:rsidR="004D6C4A" w:rsidRPr="00CF7241" w:rsidRDefault="004D6C4A" w:rsidP="004D6C4A">
      <w:pPr>
        <w:pStyle w:val="NormalWeb"/>
        <w:spacing w:before="60" w:beforeAutospacing="0" w:after="60" w:afterAutospacing="0"/>
        <w:ind w:firstLine="567"/>
        <w:jc w:val="both"/>
        <w:textAlignment w:val="baseline"/>
        <w:rPr>
          <w:sz w:val="27"/>
          <w:szCs w:val="27"/>
        </w:rPr>
      </w:pPr>
      <w:r w:rsidRPr="00CF7241">
        <w:rPr>
          <w:sz w:val="27"/>
          <w:szCs w:val="27"/>
        </w:rPr>
        <w:t>- Thời hạn kiểm tra và trả lời về tính đầy đủ và hợp lệ của hồ sơ: 03 ngày làm việc.</w:t>
      </w:r>
    </w:p>
    <w:p w:rsidR="004D6C4A" w:rsidRPr="00CF7241" w:rsidRDefault="004D6C4A" w:rsidP="004D6C4A">
      <w:pPr>
        <w:pStyle w:val="NormalWeb"/>
        <w:spacing w:before="60" w:beforeAutospacing="0" w:after="60" w:afterAutospacing="0"/>
        <w:ind w:firstLine="567"/>
        <w:jc w:val="both"/>
        <w:textAlignment w:val="baseline"/>
        <w:rPr>
          <w:sz w:val="27"/>
          <w:szCs w:val="27"/>
        </w:rPr>
      </w:pPr>
      <w:r w:rsidRPr="00CF7241">
        <w:rPr>
          <w:sz w:val="27"/>
          <w:szCs w:val="27"/>
        </w:rPr>
        <w:t>- Thời hạn bổ sung hồ sơ: 30 ngày</w:t>
      </w:r>
    </w:p>
    <w:p w:rsidR="004D6C4A" w:rsidRDefault="004D6C4A" w:rsidP="004D6C4A">
      <w:pPr>
        <w:spacing w:before="120" w:after="120"/>
        <w:ind w:firstLine="567"/>
        <w:jc w:val="both"/>
        <w:rPr>
          <w:sz w:val="27"/>
          <w:szCs w:val="27"/>
        </w:rPr>
      </w:pPr>
      <w:r w:rsidRPr="00CF7241">
        <w:rPr>
          <w:sz w:val="27"/>
          <w:szCs w:val="27"/>
        </w:rPr>
        <w:t>- Thời hạn giải quyết sau khi hồ sơ hợp lệ, đầy đủ: 05 ngày làm việc.</w:t>
      </w:r>
    </w:p>
    <w:p w:rsidR="004D6C4A" w:rsidRDefault="004D6C4A" w:rsidP="004D6C4A">
      <w:pPr>
        <w:spacing w:before="120" w:after="120"/>
        <w:ind w:firstLine="567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e) </w:t>
      </w:r>
      <w:r w:rsidRPr="00CF7241">
        <w:rPr>
          <w:b/>
          <w:sz w:val="27"/>
          <w:szCs w:val="27"/>
        </w:rPr>
        <w:t xml:space="preserve">Đối tượng thực hiện thủ tục hành chính: </w:t>
      </w:r>
      <w:r w:rsidRPr="00CF7241">
        <w:rPr>
          <w:sz w:val="27"/>
          <w:szCs w:val="27"/>
        </w:rPr>
        <w:t>Cơ sở sản xuất, nhập khẩu hàng đóng gói sẵn nhóm 1</w:t>
      </w:r>
      <w:r>
        <w:rPr>
          <w:sz w:val="27"/>
          <w:szCs w:val="27"/>
        </w:rPr>
        <w:t>.</w:t>
      </w:r>
    </w:p>
    <w:p w:rsidR="004D6C4A" w:rsidRDefault="004D6C4A" w:rsidP="004D6C4A">
      <w:pPr>
        <w:spacing w:before="120" w:after="120"/>
        <w:ind w:firstLine="567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f) </w:t>
      </w:r>
      <w:r w:rsidRPr="00CF7241">
        <w:rPr>
          <w:b/>
          <w:sz w:val="27"/>
          <w:szCs w:val="27"/>
        </w:rPr>
        <w:t xml:space="preserve">Cơ quan thực hiện thủ tục hành chính: </w:t>
      </w:r>
      <w:r w:rsidRPr="00CF7241">
        <w:rPr>
          <w:sz w:val="27"/>
          <w:szCs w:val="27"/>
        </w:rPr>
        <w:t>Chi cục Tiêu chuẩn Đo lường Chất lượng Quảng Trị</w:t>
      </w:r>
    </w:p>
    <w:p w:rsidR="004D6C4A" w:rsidRDefault="004D6C4A" w:rsidP="004D6C4A">
      <w:pPr>
        <w:spacing w:before="120" w:after="120"/>
        <w:ind w:firstLine="567"/>
        <w:jc w:val="both"/>
        <w:rPr>
          <w:sz w:val="27"/>
          <w:szCs w:val="27"/>
        </w:rPr>
      </w:pPr>
      <w:r w:rsidRPr="00CF7241">
        <w:rPr>
          <w:b/>
          <w:sz w:val="27"/>
          <w:szCs w:val="27"/>
        </w:rPr>
        <w:t>g)</w:t>
      </w:r>
      <w:r>
        <w:rPr>
          <w:sz w:val="27"/>
          <w:szCs w:val="27"/>
        </w:rPr>
        <w:t xml:space="preserve"> </w:t>
      </w:r>
      <w:r w:rsidRPr="00CF7241">
        <w:rPr>
          <w:b/>
          <w:sz w:val="27"/>
          <w:szCs w:val="27"/>
        </w:rPr>
        <w:t xml:space="preserve">Kết quả thực hiện thủ tục hành chính: </w:t>
      </w:r>
      <w:r w:rsidRPr="00CF7241">
        <w:rPr>
          <w:sz w:val="27"/>
          <w:szCs w:val="27"/>
        </w:rPr>
        <w:t>Xác nhận công bố sử dụng dấu định lượng trên nhãn hàng đóng gói sẵn</w:t>
      </w:r>
      <w:r>
        <w:rPr>
          <w:sz w:val="27"/>
          <w:szCs w:val="27"/>
        </w:rPr>
        <w:t>.</w:t>
      </w:r>
    </w:p>
    <w:p w:rsidR="004D6C4A" w:rsidRDefault="004D6C4A" w:rsidP="004D6C4A">
      <w:pPr>
        <w:spacing w:before="120" w:after="120"/>
        <w:ind w:firstLine="567"/>
        <w:jc w:val="both"/>
        <w:rPr>
          <w:sz w:val="27"/>
          <w:szCs w:val="27"/>
        </w:rPr>
      </w:pPr>
      <w:r w:rsidRPr="00CF7241">
        <w:rPr>
          <w:b/>
          <w:sz w:val="27"/>
          <w:szCs w:val="27"/>
        </w:rPr>
        <w:t>h)</w:t>
      </w:r>
      <w:r>
        <w:rPr>
          <w:b/>
          <w:sz w:val="27"/>
          <w:szCs w:val="27"/>
        </w:rPr>
        <w:t xml:space="preserve"> </w:t>
      </w:r>
      <w:r w:rsidRPr="00CF7241">
        <w:rPr>
          <w:b/>
          <w:bCs/>
          <w:sz w:val="27"/>
          <w:szCs w:val="27"/>
        </w:rPr>
        <w:t xml:space="preserve">Phí </w:t>
      </w:r>
      <w:r w:rsidRPr="00CF7241">
        <w:rPr>
          <w:sz w:val="27"/>
          <w:szCs w:val="27"/>
        </w:rPr>
        <w:t>(nếu có): Không có thông tin</w:t>
      </w:r>
    </w:p>
    <w:p w:rsidR="004D6C4A" w:rsidRDefault="004D6C4A" w:rsidP="004D6C4A">
      <w:pPr>
        <w:spacing w:before="120" w:after="120"/>
        <w:ind w:firstLine="567"/>
        <w:jc w:val="both"/>
        <w:rPr>
          <w:sz w:val="27"/>
          <w:szCs w:val="27"/>
        </w:rPr>
      </w:pPr>
      <w:r w:rsidRPr="00CF7241">
        <w:rPr>
          <w:b/>
          <w:sz w:val="27"/>
          <w:szCs w:val="27"/>
        </w:rPr>
        <w:lastRenderedPageBreak/>
        <w:t>i)</w:t>
      </w:r>
      <w:r>
        <w:rPr>
          <w:b/>
          <w:sz w:val="27"/>
          <w:szCs w:val="27"/>
        </w:rPr>
        <w:t xml:space="preserve"> </w:t>
      </w:r>
      <w:r w:rsidRPr="00CF7241">
        <w:rPr>
          <w:b/>
          <w:sz w:val="27"/>
          <w:szCs w:val="27"/>
        </w:rPr>
        <w:t xml:space="preserve">Tên mẫu đơn, mẫu tờ khai </w:t>
      </w:r>
      <w:r w:rsidRPr="00CF7241">
        <w:rPr>
          <w:sz w:val="27"/>
          <w:szCs w:val="27"/>
        </w:rPr>
        <w:t>(nếu có)</w:t>
      </w:r>
      <w:r w:rsidRPr="00CF7241">
        <w:rPr>
          <w:b/>
          <w:sz w:val="27"/>
          <w:szCs w:val="27"/>
        </w:rPr>
        <w:t xml:space="preserve">: </w:t>
      </w:r>
      <w:r w:rsidRPr="00CF7241">
        <w:rPr>
          <w:sz w:val="27"/>
          <w:szCs w:val="27"/>
        </w:rPr>
        <w:t>Bản công bố sử dụng dấu định lượng trên nhãn hàng đóng gói sẵn mẫu 1. CBDĐL Thông tư 21/2014/TT-BKHCN</w:t>
      </w:r>
      <w:r>
        <w:rPr>
          <w:sz w:val="27"/>
          <w:szCs w:val="27"/>
        </w:rPr>
        <w:t>.</w:t>
      </w:r>
    </w:p>
    <w:p w:rsidR="004D6C4A" w:rsidRPr="00CF7241" w:rsidRDefault="004D6C4A" w:rsidP="004D6C4A">
      <w:pPr>
        <w:spacing w:before="60" w:after="60"/>
        <w:ind w:firstLine="337"/>
        <w:jc w:val="both"/>
        <w:rPr>
          <w:b/>
          <w:bCs/>
          <w:sz w:val="27"/>
          <w:szCs w:val="27"/>
        </w:rPr>
      </w:pPr>
      <w:r w:rsidRPr="00CF7241">
        <w:rPr>
          <w:b/>
          <w:sz w:val="27"/>
          <w:szCs w:val="27"/>
        </w:rPr>
        <w:t>k)</w:t>
      </w:r>
      <w:r>
        <w:rPr>
          <w:b/>
          <w:sz w:val="27"/>
          <w:szCs w:val="27"/>
        </w:rPr>
        <w:t xml:space="preserve"> </w:t>
      </w:r>
      <w:r w:rsidRPr="00CF7241">
        <w:rPr>
          <w:b/>
          <w:sz w:val="27"/>
          <w:szCs w:val="27"/>
        </w:rPr>
        <w:t>Yêu cầu, điều kiện thực hiện thủ tục hành chính</w:t>
      </w:r>
      <w:r w:rsidRPr="00CF7241">
        <w:rPr>
          <w:sz w:val="27"/>
          <w:szCs w:val="27"/>
        </w:rPr>
        <w:t xml:space="preserve"> (nếu có)</w:t>
      </w:r>
      <w:r w:rsidRPr="00CF7241">
        <w:rPr>
          <w:b/>
          <w:sz w:val="27"/>
          <w:szCs w:val="27"/>
        </w:rPr>
        <w:t>:</w:t>
      </w:r>
    </w:p>
    <w:p w:rsidR="004D6C4A" w:rsidRPr="00CF7241" w:rsidRDefault="004D6C4A" w:rsidP="004D6C4A">
      <w:pPr>
        <w:pStyle w:val="NormalWeb"/>
        <w:spacing w:before="60" w:beforeAutospacing="0" w:after="60" w:afterAutospacing="0"/>
        <w:ind w:firstLine="567"/>
        <w:jc w:val="both"/>
        <w:textAlignment w:val="baseline"/>
        <w:rPr>
          <w:sz w:val="27"/>
          <w:szCs w:val="27"/>
        </w:rPr>
      </w:pPr>
      <w:r w:rsidRPr="00CF7241">
        <w:rPr>
          <w:sz w:val="27"/>
          <w:szCs w:val="27"/>
        </w:rPr>
        <w:t>Cơ sở đáp ứng các điều kiện sau đây được chứng nhận đủ điều kiện sử dụng dấu định lượng trên nhãn của hàng đóng gói sẵn</w:t>
      </w:r>
    </w:p>
    <w:p w:rsidR="004D6C4A" w:rsidRPr="00CF7241" w:rsidRDefault="004D6C4A" w:rsidP="004D6C4A">
      <w:pPr>
        <w:pStyle w:val="NormalWeb"/>
        <w:spacing w:before="60" w:beforeAutospacing="0" w:after="60" w:afterAutospacing="0"/>
        <w:ind w:firstLine="567"/>
        <w:jc w:val="both"/>
        <w:textAlignment w:val="baseline"/>
        <w:rPr>
          <w:sz w:val="27"/>
          <w:szCs w:val="27"/>
        </w:rPr>
      </w:pPr>
      <w:r w:rsidRPr="00CF7241">
        <w:rPr>
          <w:sz w:val="27"/>
          <w:szCs w:val="27"/>
        </w:rPr>
        <w:t>Đối với cơ sở sản xuất</w:t>
      </w:r>
    </w:p>
    <w:p w:rsidR="004D6C4A" w:rsidRPr="00CF7241" w:rsidRDefault="004D6C4A" w:rsidP="004D6C4A">
      <w:pPr>
        <w:pStyle w:val="NormalWeb"/>
        <w:spacing w:before="60" w:beforeAutospacing="0" w:after="60" w:afterAutospacing="0"/>
        <w:ind w:firstLine="567"/>
        <w:jc w:val="both"/>
        <w:textAlignment w:val="baseline"/>
        <w:rPr>
          <w:sz w:val="27"/>
          <w:szCs w:val="27"/>
        </w:rPr>
      </w:pPr>
      <w:r w:rsidRPr="00CF7241">
        <w:rPr>
          <w:sz w:val="27"/>
          <w:szCs w:val="27"/>
        </w:rPr>
        <w:t>1. Được thành lập theo quy định của pháp luật.</w:t>
      </w:r>
    </w:p>
    <w:p w:rsidR="004D6C4A" w:rsidRPr="00CF7241" w:rsidRDefault="004D6C4A" w:rsidP="004D6C4A">
      <w:pPr>
        <w:pStyle w:val="NormalWeb"/>
        <w:spacing w:before="60" w:beforeAutospacing="0" w:after="60" w:afterAutospacing="0"/>
        <w:ind w:firstLine="567"/>
        <w:jc w:val="both"/>
        <w:textAlignment w:val="baseline"/>
        <w:rPr>
          <w:sz w:val="27"/>
          <w:szCs w:val="27"/>
        </w:rPr>
      </w:pPr>
      <w:r w:rsidRPr="00CF7241">
        <w:rPr>
          <w:sz w:val="27"/>
          <w:szCs w:val="27"/>
        </w:rPr>
        <w:t>2. Đã thiết lập, áp dụng và duy trì hệ thống quản lý định lượng theo quy định tại Điều 14 của Thông tư này;</w:t>
      </w:r>
    </w:p>
    <w:p w:rsidR="004D6C4A" w:rsidRPr="00CF7241" w:rsidRDefault="004D6C4A" w:rsidP="004D6C4A">
      <w:pPr>
        <w:pStyle w:val="NormalWeb"/>
        <w:spacing w:before="60" w:beforeAutospacing="0" w:after="60" w:afterAutospacing="0"/>
        <w:ind w:firstLine="567"/>
        <w:jc w:val="both"/>
        <w:textAlignment w:val="baseline"/>
        <w:rPr>
          <w:sz w:val="27"/>
          <w:szCs w:val="27"/>
        </w:rPr>
      </w:pPr>
      <w:r w:rsidRPr="00CF7241">
        <w:rPr>
          <w:sz w:val="27"/>
          <w:szCs w:val="27"/>
        </w:rPr>
        <w:t>3. Kết quả đánh giá tại cơ sở đối với lượng của hàng đóng gói sẵn phải phù hợp với yêu cầu quy định tại Điều 4 và Điều 5 Thông 21/2014/TT-BKHCN.</w:t>
      </w:r>
    </w:p>
    <w:p w:rsidR="004D6C4A" w:rsidRPr="00CF7241" w:rsidRDefault="004D6C4A" w:rsidP="004D6C4A">
      <w:pPr>
        <w:pStyle w:val="NormalWeb"/>
        <w:spacing w:before="60" w:beforeAutospacing="0" w:after="60" w:afterAutospacing="0"/>
        <w:ind w:firstLine="567"/>
        <w:jc w:val="both"/>
        <w:textAlignment w:val="baseline"/>
        <w:rPr>
          <w:sz w:val="27"/>
          <w:szCs w:val="27"/>
        </w:rPr>
      </w:pPr>
      <w:r w:rsidRPr="00CF7241">
        <w:rPr>
          <w:sz w:val="27"/>
          <w:szCs w:val="27"/>
        </w:rPr>
        <w:t>Đối với cơ sở nhập khẩu</w:t>
      </w:r>
    </w:p>
    <w:p w:rsidR="004D6C4A" w:rsidRPr="00CF7241" w:rsidRDefault="004D6C4A" w:rsidP="004D6C4A">
      <w:pPr>
        <w:pStyle w:val="NormalWeb"/>
        <w:spacing w:before="60" w:beforeAutospacing="0" w:after="60" w:afterAutospacing="0"/>
        <w:ind w:firstLine="567"/>
        <w:jc w:val="both"/>
        <w:textAlignment w:val="baseline"/>
        <w:rPr>
          <w:sz w:val="27"/>
          <w:szCs w:val="27"/>
        </w:rPr>
      </w:pPr>
      <w:r w:rsidRPr="00CF7241">
        <w:rPr>
          <w:sz w:val="27"/>
          <w:szCs w:val="27"/>
        </w:rPr>
        <w:t>1. Phải thể hiện dấu định lượng trên nhãn hàng đóng gói sẵn nhóm 2.</w:t>
      </w:r>
    </w:p>
    <w:p w:rsidR="004D6C4A" w:rsidRDefault="004D6C4A" w:rsidP="004D6C4A">
      <w:pPr>
        <w:spacing w:before="120" w:after="120"/>
        <w:ind w:firstLine="567"/>
        <w:jc w:val="both"/>
        <w:rPr>
          <w:sz w:val="27"/>
          <w:szCs w:val="27"/>
        </w:rPr>
      </w:pPr>
      <w:r w:rsidRPr="00CF7241">
        <w:rPr>
          <w:sz w:val="27"/>
          <w:szCs w:val="27"/>
        </w:rPr>
        <w:t>2. Ban hành và thực hiện các biện pháp kiểm soát về đo lường để bảo đảm yêu cầu kỹ thuật đo lường đối với lượng của hàng đóng gói sẵn.</w:t>
      </w:r>
    </w:p>
    <w:p w:rsidR="004D6C4A" w:rsidRPr="00CF7241" w:rsidRDefault="004D6C4A" w:rsidP="004D6C4A">
      <w:pPr>
        <w:spacing w:before="60" w:after="60"/>
        <w:ind w:firstLine="567"/>
        <w:jc w:val="both"/>
        <w:rPr>
          <w:b/>
          <w:bCs/>
          <w:sz w:val="27"/>
          <w:szCs w:val="27"/>
        </w:rPr>
      </w:pPr>
      <w:r>
        <w:rPr>
          <w:b/>
          <w:sz w:val="27"/>
          <w:szCs w:val="27"/>
        </w:rPr>
        <w:t>k)</w:t>
      </w:r>
      <w:r w:rsidRPr="00CF7241">
        <w:rPr>
          <w:b/>
          <w:sz w:val="27"/>
          <w:szCs w:val="27"/>
        </w:rPr>
        <w:t>Căn cứ pháp lý của thủ tục hành chính:</w:t>
      </w:r>
    </w:p>
    <w:p w:rsidR="004D6C4A" w:rsidRPr="00CF7241" w:rsidRDefault="004D6C4A" w:rsidP="004D6C4A">
      <w:pPr>
        <w:spacing w:before="60" w:after="60"/>
        <w:ind w:firstLine="567"/>
        <w:jc w:val="both"/>
        <w:textAlignment w:val="baseline"/>
        <w:rPr>
          <w:sz w:val="27"/>
          <w:szCs w:val="27"/>
        </w:rPr>
      </w:pPr>
      <w:r w:rsidRPr="00CF7241">
        <w:rPr>
          <w:sz w:val="27"/>
          <w:szCs w:val="27"/>
        </w:rPr>
        <w:t xml:space="preserve">- </w:t>
      </w:r>
      <w:hyperlink r:id="rId5" w:tgtFrame="_blank" w:tooltip="Nghị định 89/2006/NĐ-CP" w:history="1">
        <w:r w:rsidRPr="00CF7241">
          <w:rPr>
            <w:rStyle w:val="Hyperlink"/>
            <w:sz w:val="27"/>
            <w:szCs w:val="27"/>
            <w:bdr w:val="none" w:sz="0" w:space="0" w:color="auto" w:frame="1"/>
          </w:rPr>
          <w:t xml:space="preserve">Nghị định 43/2017/NĐ-CP </w:t>
        </w:r>
      </w:hyperlink>
    </w:p>
    <w:p w:rsidR="004D6C4A" w:rsidRPr="00CF7241" w:rsidRDefault="004D6C4A" w:rsidP="004D6C4A">
      <w:pPr>
        <w:spacing w:before="60" w:after="60"/>
        <w:ind w:firstLine="567"/>
        <w:jc w:val="both"/>
        <w:textAlignment w:val="baseline"/>
        <w:rPr>
          <w:sz w:val="27"/>
          <w:szCs w:val="27"/>
        </w:rPr>
      </w:pPr>
      <w:r w:rsidRPr="00CF7241">
        <w:rPr>
          <w:sz w:val="27"/>
          <w:szCs w:val="27"/>
        </w:rPr>
        <w:t xml:space="preserve">- </w:t>
      </w:r>
      <w:hyperlink r:id="rId6" w:tgtFrame="_blank" w:tooltip="Luật 04/2011/QH13" w:history="1">
        <w:r w:rsidRPr="00CF7241">
          <w:rPr>
            <w:rStyle w:val="Hyperlink"/>
            <w:sz w:val="27"/>
            <w:szCs w:val="27"/>
            <w:bdr w:val="none" w:sz="0" w:space="0" w:color="auto" w:frame="1"/>
          </w:rPr>
          <w:t>Luật 04/2011/QH13</w:t>
        </w:r>
      </w:hyperlink>
    </w:p>
    <w:p w:rsidR="004D6C4A" w:rsidRPr="00CF7241" w:rsidRDefault="004D6C4A" w:rsidP="004D6C4A">
      <w:pPr>
        <w:spacing w:before="60" w:after="60"/>
        <w:ind w:firstLine="567"/>
        <w:jc w:val="both"/>
        <w:textAlignment w:val="baseline"/>
        <w:rPr>
          <w:sz w:val="27"/>
          <w:szCs w:val="27"/>
        </w:rPr>
      </w:pPr>
      <w:r w:rsidRPr="00CF7241">
        <w:rPr>
          <w:sz w:val="27"/>
          <w:szCs w:val="27"/>
        </w:rPr>
        <w:t xml:space="preserve">- </w:t>
      </w:r>
      <w:hyperlink r:id="rId7" w:tgtFrame="_blank" w:tooltip="Nghị định 86/2012/NĐ-CP" w:history="1">
        <w:r w:rsidRPr="00CF7241">
          <w:rPr>
            <w:rStyle w:val="Hyperlink"/>
            <w:sz w:val="27"/>
            <w:szCs w:val="27"/>
            <w:bdr w:val="none" w:sz="0" w:space="0" w:color="auto" w:frame="1"/>
          </w:rPr>
          <w:t>Nghị định 86/2012/NĐ-CP</w:t>
        </w:r>
      </w:hyperlink>
    </w:p>
    <w:p w:rsidR="004D6C4A" w:rsidRPr="00CF7241" w:rsidRDefault="004D6C4A" w:rsidP="004D6C4A">
      <w:pPr>
        <w:spacing w:before="120" w:after="120"/>
        <w:ind w:firstLine="567"/>
        <w:jc w:val="both"/>
        <w:rPr>
          <w:b/>
          <w:lang w:val="nl-NL"/>
        </w:rPr>
      </w:pPr>
      <w:r w:rsidRPr="00CF7241">
        <w:rPr>
          <w:sz w:val="27"/>
          <w:szCs w:val="27"/>
        </w:rPr>
        <w:t xml:space="preserve">- </w:t>
      </w:r>
      <w:hyperlink r:id="rId8" w:tgtFrame="_blank" w:tooltip="Thông tư 21/2014/TT-BKHCN" w:history="1">
        <w:r w:rsidRPr="00CF7241">
          <w:rPr>
            <w:rStyle w:val="Hyperlink"/>
            <w:sz w:val="27"/>
            <w:szCs w:val="27"/>
            <w:bdr w:val="none" w:sz="0" w:space="0" w:color="auto" w:frame="1"/>
          </w:rPr>
          <w:t>Thông tư 21/2014/TT-BKHCN</w:t>
        </w:r>
      </w:hyperlink>
    </w:p>
    <w:p w:rsidR="004D6C4A" w:rsidRDefault="004D6C4A">
      <w:bookmarkStart w:id="0" w:name="_GoBack"/>
      <w:bookmarkEnd w:id="0"/>
    </w:p>
    <w:sectPr w:rsidR="004D6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4A"/>
    <w:rsid w:val="004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6C4A"/>
    <w:rPr>
      <w:color w:val="0000FF"/>
      <w:u w:val="single"/>
    </w:rPr>
  </w:style>
  <w:style w:type="paragraph" w:styleId="NormalWeb">
    <w:name w:val="Normal (Web)"/>
    <w:basedOn w:val="Normal"/>
    <w:uiPriority w:val="99"/>
    <w:rsid w:val="004D6C4A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4D6C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6C4A"/>
    <w:rPr>
      <w:color w:val="0000FF"/>
      <w:u w:val="single"/>
    </w:rPr>
  </w:style>
  <w:style w:type="paragraph" w:styleId="NormalWeb">
    <w:name w:val="Normal (Web)"/>
    <w:basedOn w:val="Normal"/>
    <w:uiPriority w:val="99"/>
    <w:rsid w:val="004D6C4A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4D6C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pl.vn/TW/Pages/vbpq-thuoctinh.aspx?ItemID=37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bpl.vn/TW/Pages/vbpq-thuoctinh.aspx?ItemID=303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bpl.vn/TW/Pages/vbpq-thuoctinh.aspx?ItemID=27308" TargetMode="External"/><Relationship Id="rId5" Type="http://schemas.openxmlformats.org/officeDocument/2006/relationships/hyperlink" Target="http://vbpl.vn/TW/Pages/vbpq-thuoctinh.aspx?ItemID=153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 Nguyen</dc:creator>
  <cp:lastModifiedBy>Hoa Nguyen</cp:lastModifiedBy>
  <cp:revision>1</cp:revision>
  <dcterms:created xsi:type="dcterms:W3CDTF">2021-05-19T08:43:00Z</dcterms:created>
  <dcterms:modified xsi:type="dcterms:W3CDTF">2021-05-19T08:43:00Z</dcterms:modified>
</cp:coreProperties>
</file>