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30"/>
        <w:gridCol w:w="1559"/>
        <w:gridCol w:w="1326"/>
        <w:gridCol w:w="1345"/>
        <w:gridCol w:w="840"/>
        <w:gridCol w:w="1500"/>
        <w:gridCol w:w="4680"/>
      </w:tblGrid>
      <w:tr w:rsidR="00D525BD" w:rsidRPr="00744CB0" w:rsidTr="00D525BD">
        <w:trPr>
          <w:trHeight w:val="753"/>
          <w:tblHeader/>
        </w:trPr>
        <w:tc>
          <w:tcPr>
            <w:tcW w:w="540" w:type="dxa"/>
            <w:vAlign w:val="center"/>
          </w:tcPr>
          <w:p w:rsidR="00D525BD" w:rsidRPr="00744CB0" w:rsidRDefault="00D525BD" w:rsidP="003F584E">
            <w:pPr>
              <w:spacing w:after="0"/>
              <w:ind w:left="-108" w:right="-108"/>
              <w:jc w:val="center"/>
              <w:rPr>
                <w:b/>
                <w:sz w:val="24"/>
                <w:szCs w:val="24"/>
              </w:rPr>
            </w:pPr>
            <w:r w:rsidRPr="00744CB0">
              <w:rPr>
                <w:b/>
                <w:sz w:val="24"/>
                <w:szCs w:val="24"/>
              </w:rPr>
              <w:t>Số TT</w:t>
            </w:r>
          </w:p>
        </w:tc>
        <w:tc>
          <w:tcPr>
            <w:tcW w:w="2430" w:type="dxa"/>
            <w:vAlign w:val="center"/>
          </w:tcPr>
          <w:p w:rsidR="00D525BD" w:rsidRPr="00744CB0" w:rsidRDefault="00D525BD" w:rsidP="003F584E">
            <w:pPr>
              <w:spacing w:after="0"/>
              <w:jc w:val="center"/>
              <w:rPr>
                <w:b/>
                <w:sz w:val="24"/>
                <w:szCs w:val="24"/>
              </w:rPr>
            </w:pPr>
            <w:r w:rsidRPr="00744CB0">
              <w:rPr>
                <w:b/>
                <w:sz w:val="24"/>
                <w:szCs w:val="24"/>
              </w:rPr>
              <w:t>Tên TTHC</w:t>
            </w:r>
          </w:p>
        </w:tc>
        <w:tc>
          <w:tcPr>
            <w:tcW w:w="1559" w:type="dxa"/>
            <w:vAlign w:val="center"/>
          </w:tcPr>
          <w:p w:rsidR="00D525BD" w:rsidRPr="00744CB0" w:rsidRDefault="00D525BD" w:rsidP="003F584E">
            <w:pPr>
              <w:tabs>
                <w:tab w:val="left" w:pos="203"/>
              </w:tabs>
              <w:spacing w:after="0"/>
              <w:ind w:left="57" w:right="57"/>
              <w:jc w:val="both"/>
              <w:rPr>
                <w:b/>
                <w:sz w:val="24"/>
                <w:szCs w:val="24"/>
              </w:rPr>
            </w:pPr>
            <w:r w:rsidRPr="00744CB0">
              <w:rPr>
                <w:b/>
                <w:sz w:val="24"/>
                <w:szCs w:val="24"/>
              </w:rPr>
              <w:t>Thời hạn giải quyết</w:t>
            </w:r>
          </w:p>
        </w:tc>
        <w:tc>
          <w:tcPr>
            <w:tcW w:w="1326" w:type="dxa"/>
            <w:vAlign w:val="center"/>
          </w:tcPr>
          <w:p w:rsidR="00D525BD" w:rsidRPr="00744CB0" w:rsidRDefault="00D525BD" w:rsidP="003F584E">
            <w:pPr>
              <w:tabs>
                <w:tab w:val="left" w:pos="203"/>
              </w:tabs>
              <w:spacing w:after="0"/>
              <w:ind w:left="57" w:right="57"/>
              <w:jc w:val="center"/>
              <w:rPr>
                <w:b/>
                <w:sz w:val="24"/>
                <w:szCs w:val="24"/>
              </w:rPr>
            </w:pPr>
            <w:r w:rsidRPr="00744CB0">
              <w:rPr>
                <w:b/>
                <w:sz w:val="24"/>
                <w:szCs w:val="24"/>
              </w:rPr>
              <w:t>Địa điểm thực hiện</w:t>
            </w:r>
          </w:p>
        </w:tc>
        <w:tc>
          <w:tcPr>
            <w:tcW w:w="1345" w:type="dxa"/>
            <w:vAlign w:val="center"/>
          </w:tcPr>
          <w:p w:rsidR="00D525BD" w:rsidRPr="00744CB0" w:rsidRDefault="00D525BD" w:rsidP="003F584E">
            <w:pPr>
              <w:tabs>
                <w:tab w:val="left" w:pos="203"/>
              </w:tabs>
              <w:spacing w:after="0"/>
              <w:ind w:left="57" w:right="57"/>
              <w:jc w:val="center"/>
              <w:rPr>
                <w:b/>
                <w:sz w:val="24"/>
                <w:szCs w:val="24"/>
              </w:rPr>
            </w:pPr>
            <w:r w:rsidRPr="00744CB0">
              <w:rPr>
                <w:b/>
                <w:sz w:val="24"/>
                <w:szCs w:val="24"/>
              </w:rPr>
              <w:t>Cách thức thực hiện</w:t>
            </w:r>
          </w:p>
        </w:tc>
        <w:tc>
          <w:tcPr>
            <w:tcW w:w="840" w:type="dxa"/>
            <w:vAlign w:val="center"/>
          </w:tcPr>
          <w:p w:rsidR="00D525BD" w:rsidRPr="00744CB0" w:rsidRDefault="00D525BD" w:rsidP="003F584E">
            <w:pPr>
              <w:tabs>
                <w:tab w:val="left" w:pos="203"/>
              </w:tabs>
              <w:spacing w:after="0"/>
              <w:ind w:right="57"/>
              <w:jc w:val="center"/>
              <w:rPr>
                <w:b/>
                <w:sz w:val="24"/>
                <w:szCs w:val="24"/>
              </w:rPr>
            </w:pPr>
            <w:r w:rsidRPr="00744CB0">
              <w:rPr>
                <w:b/>
                <w:sz w:val="24"/>
                <w:szCs w:val="24"/>
              </w:rPr>
              <w:t>Mức độ DVC</w:t>
            </w:r>
          </w:p>
        </w:tc>
        <w:tc>
          <w:tcPr>
            <w:tcW w:w="1500" w:type="dxa"/>
            <w:vAlign w:val="center"/>
          </w:tcPr>
          <w:p w:rsidR="00D525BD" w:rsidRPr="00744CB0" w:rsidRDefault="00D525BD" w:rsidP="003F584E">
            <w:pPr>
              <w:tabs>
                <w:tab w:val="left" w:pos="203"/>
              </w:tabs>
              <w:spacing w:after="0"/>
              <w:ind w:left="57" w:right="57"/>
              <w:jc w:val="center"/>
              <w:rPr>
                <w:b/>
                <w:sz w:val="24"/>
                <w:szCs w:val="24"/>
              </w:rPr>
            </w:pPr>
            <w:r w:rsidRPr="00C2786F">
              <w:rPr>
                <w:b/>
                <w:sz w:val="20"/>
                <w:szCs w:val="24"/>
              </w:rPr>
              <w:t>Phí/ lệ phí (đồng)</w:t>
            </w:r>
          </w:p>
        </w:tc>
        <w:tc>
          <w:tcPr>
            <w:tcW w:w="4680" w:type="dxa"/>
            <w:vAlign w:val="center"/>
          </w:tcPr>
          <w:p w:rsidR="00D525BD" w:rsidRPr="00744CB0" w:rsidRDefault="00D525BD" w:rsidP="003F584E">
            <w:pPr>
              <w:tabs>
                <w:tab w:val="left" w:pos="203"/>
              </w:tabs>
              <w:spacing w:after="0"/>
              <w:ind w:left="57" w:right="57"/>
              <w:jc w:val="center"/>
              <w:rPr>
                <w:b/>
                <w:sz w:val="26"/>
                <w:szCs w:val="26"/>
              </w:rPr>
            </w:pPr>
            <w:r w:rsidRPr="00744CB0">
              <w:rPr>
                <w:b/>
                <w:sz w:val="26"/>
                <w:szCs w:val="26"/>
              </w:rPr>
              <w:t>Căn cứ pháp lý</w:t>
            </w:r>
          </w:p>
        </w:tc>
      </w:tr>
      <w:tr w:rsidR="00D525BD" w:rsidRPr="00744CB0" w:rsidTr="00D525BD">
        <w:trPr>
          <w:trHeight w:val="485"/>
        </w:trPr>
        <w:tc>
          <w:tcPr>
            <w:tcW w:w="540" w:type="dxa"/>
            <w:vAlign w:val="center"/>
          </w:tcPr>
          <w:p w:rsidR="00D525BD" w:rsidRPr="00744CB0" w:rsidRDefault="00D525BD" w:rsidP="003F584E">
            <w:pPr>
              <w:spacing w:after="0"/>
              <w:jc w:val="center"/>
              <w:rPr>
                <w:b/>
                <w:sz w:val="24"/>
                <w:szCs w:val="24"/>
                <w:lang w:val="pt-BR"/>
              </w:rPr>
            </w:pPr>
            <w:r w:rsidRPr="00744CB0">
              <w:rPr>
                <w:b/>
                <w:sz w:val="24"/>
                <w:szCs w:val="24"/>
                <w:lang w:val="pt-BR"/>
              </w:rPr>
              <w:t>I</w:t>
            </w:r>
          </w:p>
        </w:tc>
        <w:tc>
          <w:tcPr>
            <w:tcW w:w="5315" w:type="dxa"/>
            <w:gridSpan w:val="3"/>
            <w:vAlign w:val="center"/>
          </w:tcPr>
          <w:p w:rsidR="00D525BD" w:rsidRPr="00744CB0" w:rsidRDefault="00D525BD" w:rsidP="003F584E">
            <w:pPr>
              <w:spacing w:after="0"/>
              <w:jc w:val="both"/>
              <w:rPr>
                <w:b/>
                <w:bCs/>
                <w:sz w:val="24"/>
                <w:szCs w:val="24"/>
                <w:lang w:eastAsia="vi-VN"/>
              </w:rPr>
            </w:pPr>
            <w:r w:rsidRPr="00744CB0">
              <w:rPr>
                <w:b/>
                <w:sz w:val="24"/>
                <w:szCs w:val="24"/>
                <w:lang w:val="pt-BR"/>
              </w:rPr>
              <w:t xml:space="preserve">Lĩnh vực </w:t>
            </w:r>
            <w:r>
              <w:rPr>
                <w:b/>
                <w:sz w:val="24"/>
                <w:szCs w:val="24"/>
                <w:lang w:val="pt-BR"/>
              </w:rPr>
              <w:t>Sở hữu trí tuệ</w:t>
            </w:r>
          </w:p>
        </w:tc>
        <w:tc>
          <w:tcPr>
            <w:tcW w:w="1345" w:type="dxa"/>
            <w:vAlign w:val="center"/>
          </w:tcPr>
          <w:p w:rsidR="00D525BD" w:rsidRPr="00744CB0" w:rsidRDefault="00D525BD" w:rsidP="003F584E">
            <w:pPr>
              <w:spacing w:after="0"/>
              <w:jc w:val="center"/>
              <w:rPr>
                <w:bCs/>
                <w:sz w:val="24"/>
                <w:szCs w:val="24"/>
                <w:lang w:eastAsia="vi-VN"/>
              </w:rPr>
            </w:pPr>
          </w:p>
        </w:tc>
        <w:tc>
          <w:tcPr>
            <w:tcW w:w="840" w:type="dxa"/>
            <w:vAlign w:val="center"/>
          </w:tcPr>
          <w:p w:rsidR="00D525BD" w:rsidRPr="00744CB0" w:rsidRDefault="00D525BD" w:rsidP="003F584E">
            <w:pPr>
              <w:spacing w:after="0"/>
              <w:jc w:val="center"/>
              <w:rPr>
                <w:bCs/>
                <w:sz w:val="24"/>
                <w:szCs w:val="24"/>
                <w:lang w:eastAsia="vi-VN"/>
              </w:rPr>
            </w:pPr>
          </w:p>
        </w:tc>
        <w:tc>
          <w:tcPr>
            <w:tcW w:w="1500" w:type="dxa"/>
            <w:vAlign w:val="center"/>
          </w:tcPr>
          <w:p w:rsidR="00D525BD" w:rsidRPr="00744CB0" w:rsidRDefault="00D525BD" w:rsidP="003F584E">
            <w:pPr>
              <w:spacing w:after="0"/>
              <w:jc w:val="both"/>
              <w:rPr>
                <w:bCs/>
                <w:sz w:val="24"/>
                <w:szCs w:val="24"/>
                <w:lang w:eastAsia="vi-VN"/>
              </w:rPr>
            </w:pPr>
          </w:p>
        </w:tc>
        <w:tc>
          <w:tcPr>
            <w:tcW w:w="4680" w:type="dxa"/>
            <w:vAlign w:val="center"/>
          </w:tcPr>
          <w:p w:rsidR="00D525BD" w:rsidRPr="00744CB0" w:rsidRDefault="00D525BD" w:rsidP="003F584E">
            <w:pPr>
              <w:pStyle w:val="NormalWeb"/>
              <w:shd w:val="clear" w:color="auto" w:fill="FFFFFF"/>
              <w:spacing w:before="0" w:beforeAutospacing="0" w:after="0" w:afterAutospacing="0"/>
              <w:jc w:val="both"/>
              <w:rPr>
                <w:bCs/>
                <w:sz w:val="26"/>
                <w:szCs w:val="26"/>
                <w:lang w:eastAsia="vi-VN"/>
              </w:rPr>
            </w:pPr>
          </w:p>
        </w:tc>
      </w:tr>
      <w:tr w:rsidR="00D525BD" w:rsidRPr="00744CB0" w:rsidTr="00D525BD">
        <w:trPr>
          <w:trHeight w:val="510"/>
        </w:trPr>
        <w:tc>
          <w:tcPr>
            <w:tcW w:w="540" w:type="dxa"/>
          </w:tcPr>
          <w:p w:rsidR="00D525BD" w:rsidRPr="00744CB0" w:rsidRDefault="00D525BD" w:rsidP="003F584E">
            <w:pPr>
              <w:spacing w:after="0"/>
              <w:jc w:val="center"/>
              <w:rPr>
                <w:sz w:val="24"/>
                <w:szCs w:val="24"/>
                <w:lang w:val="pt-BR"/>
              </w:rPr>
            </w:pPr>
            <w:r w:rsidRPr="00744CB0">
              <w:rPr>
                <w:sz w:val="24"/>
                <w:szCs w:val="24"/>
                <w:lang w:val="pt-BR"/>
              </w:rPr>
              <w:t>1</w:t>
            </w:r>
          </w:p>
        </w:tc>
        <w:tc>
          <w:tcPr>
            <w:tcW w:w="2430" w:type="dxa"/>
          </w:tcPr>
          <w:p w:rsidR="00D525BD" w:rsidRPr="006F7B67" w:rsidRDefault="00D525BD" w:rsidP="003F584E">
            <w:pPr>
              <w:widowControl w:val="0"/>
              <w:spacing w:before="40" w:after="40" w:line="240" w:lineRule="auto"/>
              <w:jc w:val="center"/>
              <w:rPr>
                <w:sz w:val="24"/>
                <w:szCs w:val="24"/>
                <w:lang w:val="vi-VN"/>
              </w:rPr>
            </w:pPr>
            <w:r>
              <w:rPr>
                <w:bCs/>
                <w:sz w:val="24"/>
                <w:szCs w:val="24"/>
              </w:rPr>
              <w:t xml:space="preserve">Thủ tục cấp Giấy </w:t>
            </w:r>
            <w:r w:rsidRPr="006F7B67">
              <w:rPr>
                <w:bCs/>
                <w:sz w:val="24"/>
                <w:szCs w:val="24"/>
              </w:rPr>
              <w:t xml:space="preserve">chứng nhận </w:t>
            </w:r>
            <w:r>
              <w:rPr>
                <w:bCs/>
                <w:sz w:val="24"/>
                <w:szCs w:val="24"/>
              </w:rPr>
              <w:t>tổ chức giám định sở hữu công nghiệp</w:t>
            </w:r>
          </w:p>
        </w:tc>
        <w:tc>
          <w:tcPr>
            <w:tcW w:w="1559" w:type="dxa"/>
          </w:tcPr>
          <w:p w:rsidR="00D525BD" w:rsidRPr="006F7B67" w:rsidRDefault="00D525BD" w:rsidP="003F584E">
            <w:pPr>
              <w:spacing w:after="0" w:line="240" w:lineRule="auto"/>
              <w:jc w:val="center"/>
              <w:rPr>
                <w:bCs/>
                <w:sz w:val="24"/>
                <w:szCs w:val="24"/>
              </w:rPr>
            </w:pPr>
            <w:r w:rsidRPr="006F7B67">
              <w:rPr>
                <w:bCs/>
                <w:sz w:val="24"/>
                <w:szCs w:val="24"/>
              </w:rPr>
              <w:t xml:space="preserve">Trong thời hạn </w:t>
            </w:r>
            <w:r>
              <w:rPr>
                <w:bCs/>
                <w:sz w:val="24"/>
                <w:szCs w:val="24"/>
              </w:rPr>
              <w:t>30</w:t>
            </w:r>
            <w:r w:rsidRPr="006F7B67">
              <w:rPr>
                <w:bCs/>
                <w:sz w:val="24"/>
                <w:szCs w:val="24"/>
              </w:rPr>
              <w:t xml:space="preserve"> ngày làm việc kể từ ngày nhận được hồ sơ đầy đủ, hợp lệ theo quy định</w:t>
            </w:r>
          </w:p>
        </w:tc>
        <w:tc>
          <w:tcPr>
            <w:tcW w:w="1326" w:type="dxa"/>
          </w:tcPr>
          <w:p w:rsidR="00D525BD" w:rsidRPr="00744CB0" w:rsidRDefault="00D525BD" w:rsidP="003F584E">
            <w:pPr>
              <w:spacing w:after="0" w:line="240" w:lineRule="auto"/>
              <w:jc w:val="center"/>
              <w:rPr>
                <w:sz w:val="24"/>
                <w:szCs w:val="24"/>
                <w:lang w:val="pt-BR"/>
              </w:rPr>
            </w:pPr>
            <w:r w:rsidRPr="00744CB0">
              <w:rPr>
                <w:sz w:val="24"/>
                <w:szCs w:val="24"/>
                <w:lang w:val="pt-BR"/>
              </w:rPr>
              <w:t>Trung tâm PVHCC tỉnh</w:t>
            </w:r>
          </w:p>
        </w:tc>
        <w:tc>
          <w:tcPr>
            <w:tcW w:w="1345" w:type="dxa"/>
          </w:tcPr>
          <w:p w:rsidR="00D525BD" w:rsidRPr="00744CB0" w:rsidRDefault="00D525BD" w:rsidP="003F584E">
            <w:pPr>
              <w:spacing w:after="0" w:line="240" w:lineRule="auto"/>
              <w:jc w:val="center"/>
              <w:rPr>
                <w:sz w:val="24"/>
                <w:szCs w:val="24"/>
                <w:lang w:val="pt-BR"/>
              </w:rPr>
            </w:pPr>
            <w:r w:rsidRPr="00744CB0">
              <w:rPr>
                <w:sz w:val="24"/>
                <w:szCs w:val="24"/>
                <w:lang w:val="pt-BR"/>
              </w:rPr>
              <w:t>Trực tuyến/Trực tiếp/</w:t>
            </w:r>
          </w:p>
          <w:p w:rsidR="00D525BD" w:rsidRPr="00744CB0" w:rsidRDefault="00D525BD" w:rsidP="003F584E">
            <w:pPr>
              <w:spacing w:after="0" w:line="240" w:lineRule="auto"/>
              <w:jc w:val="center"/>
              <w:rPr>
                <w:sz w:val="24"/>
                <w:szCs w:val="24"/>
                <w:lang w:val="pt-BR"/>
              </w:rPr>
            </w:pPr>
            <w:r w:rsidRPr="00744CB0">
              <w:rPr>
                <w:sz w:val="24"/>
                <w:szCs w:val="24"/>
                <w:lang w:val="pt-BR"/>
              </w:rPr>
              <w:t>Dịch vụ bưu chính</w:t>
            </w:r>
          </w:p>
        </w:tc>
        <w:tc>
          <w:tcPr>
            <w:tcW w:w="840" w:type="dxa"/>
          </w:tcPr>
          <w:p w:rsidR="00D525BD" w:rsidRPr="00744CB0" w:rsidRDefault="00D525BD" w:rsidP="003F584E">
            <w:pPr>
              <w:spacing w:after="0" w:line="240" w:lineRule="auto"/>
              <w:jc w:val="center"/>
              <w:rPr>
                <w:sz w:val="24"/>
                <w:szCs w:val="24"/>
              </w:rPr>
            </w:pPr>
            <w:r w:rsidRPr="00744CB0">
              <w:rPr>
                <w:sz w:val="24"/>
                <w:szCs w:val="24"/>
              </w:rPr>
              <w:t>Toàn trình</w:t>
            </w:r>
          </w:p>
        </w:tc>
        <w:tc>
          <w:tcPr>
            <w:tcW w:w="1500" w:type="dxa"/>
          </w:tcPr>
          <w:p w:rsidR="00D525BD" w:rsidRPr="006F7B67" w:rsidRDefault="00D525BD" w:rsidP="003F584E">
            <w:pPr>
              <w:widowControl w:val="0"/>
              <w:spacing w:before="40" w:after="40" w:line="240" w:lineRule="auto"/>
              <w:jc w:val="center"/>
              <w:rPr>
                <w:sz w:val="24"/>
                <w:szCs w:val="24"/>
              </w:rPr>
            </w:pPr>
            <w:r>
              <w:rPr>
                <w:sz w:val="24"/>
                <w:szCs w:val="24"/>
              </w:rPr>
              <w:t>Phí thẩm định hồ sơ 250.000</w:t>
            </w:r>
          </w:p>
        </w:tc>
        <w:tc>
          <w:tcPr>
            <w:tcW w:w="4680" w:type="dxa"/>
            <w:vAlign w:val="center"/>
          </w:tcPr>
          <w:p w:rsidR="00D525BD" w:rsidRPr="006F7B67" w:rsidRDefault="00D525BD" w:rsidP="003F584E">
            <w:pPr>
              <w:shd w:val="clear" w:color="auto" w:fill="FFFFFF"/>
              <w:spacing w:after="0" w:line="240" w:lineRule="auto"/>
              <w:jc w:val="both"/>
              <w:rPr>
                <w:bCs/>
                <w:sz w:val="24"/>
                <w:szCs w:val="24"/>
              </w:rPr>
            </w:pPr>
            <w:r w:rsidRPr="006F7B67">
              <w:rPr>
                <w:bCs/>
                <w:sz w:val="24"/>
                <w:szCs w:val="24"/>
              </w:rPr>
              <w:t xml:space="preserve">-  </w:t>
            </w:r>
            <w:r w:rsidRPr="00721647">
              <w:rPr>
                <w:bCs/>
                <w:sz w:val="24"/>
                <w:szCs w:val="24"/>
              </w:rPr>
              <w:t>Luật Sở hữu trí tuệ số 50/2005/QH11 ngày 29/11/2005 của Quốc hội, được sửa đổi, bổ sung theo Luật số 36/2009/QH12 ngày 19/6/2009</w:t>
            </w:r>
            <w:r>
              <w:rPr>
                <w:bCs/>
                <w:sz w:val="24"/>
                <w:szCs w:val="24"/>
              </w:rPr>
              <w:t>, Luật số 42/2019/QH14 ngày 14/6/2019 và Luật số 07/2022/QH15 ngày 16/6/2022.</w:t>
            </w:r>
          </w:p>
          <w:p w:rsidR="00D525BD" w:rsidRPr="006F7B67" w:rsidRDefault="00D525BD" w:rsidP="003F584E">
            <w:pPr>
              <w:shd w:val="clear" w:color="auto" w:fill="FFFFFF"/>
              <w:spacing w:after="0" w:line="240" w:lineRule="auto"/>
              <w:jc w:val="both"/>
              <w:rPr>
                <w:bCs/>
                <w:sz w:val="24"/>
                <w:szCs w:val="24"/>
              </w:rPr>
            </w:pPr>
            <w:r w:rsidRPr="006F7B67">
              <w:rPr>
                <w:bCs/>
                <w:sz w:val="24"/>
                <w:szCs w:val="24"/>
              </w:rPr>
              <w:t>- Nghị định số </w:t>
            </w:r>
            <w:r>
              <w:rPr>
                <w:bCs/>
                <w:sz w:val="24"/>
                <w:szCs w:val="24"/>
              </w:rPr>
              <w:t xml:space="preserve">65/2023/NĐ-CP </w:t>
            </w:r>
            <w:r w:rsidRPr="006F7B67">
              <w:rPr>
                <w:bCs/>
                <w:sz w:val="24"/>
                <w:szCs w:val="24"/>
              </w:rPr>
              <w:t>ngày 2</w:t>
            </w:r>
            <w:r>
              <w:rPr>
                <w:bCs/>
                <w:sz w:val="24"/>
                <w:szCs w:val="24"/>
              </w:rPr>
              <w:t>3</w:t>
            </w:r>
            <w:r w:rsidRPr="006F7B67">
              <w:rPr>
                <w:bCs/>
                <w:sz w:val="24"/>
                <w:szCs w:val="24"/>
              </w:rPr>
              <w:t>/</w:t>
            </w:r>
            <w:r>
              <w:rPr>
                <w:bCs/>
                <w:sz w:val="24"/>
                <w:szCs w:val="24"/>
              </w:rPr>
              <w:t>8</w:t>
            </w:r>
            <w:r w:rsidRPr="006F7B67">
              <w:rPr>
                <w:bCs/>
                <w:sz w:val="24"/>
                <w:szCs w:val="24"/>
              </w:rPr>
              <w:t>/202</w:t>
            </w:r>
            <w:r>
              <w:rPr>
                <w:bCs/>
                <w:sz w:val="24"/>
                <w:szCs w:val="24"/>
              </w:rPr>
              <w:t>3</w:t>
            </w:r>
            <w:r w:rsidRPr="006F7B67">
              <w:rPr>
                <w:bCs/>
                <w:sz w:val="24"/>
                <w:szCs w:val="24"/>
              </w:rPr>
              <w:t xml:space="preserve"> của Chính phủ quy định chi tiết</w:t>
            </w:r>
            <w:r>
              <w:rPr>
                <w:bCs/>
                <w:sz w:val="24"/>
                <w:szCs w:val="24"/>
              </w:rPr>
              <w:t xml:space="preserve"> một số điều và biện pháp thi hành Luật Sở hữu trí tuệ về sở hữu công nghiệp, bảo vệ quyền sở hữu công nghiệp, quyền đối với giống cây trồng và quản lý nhà nước về sở hữu trí tuệ.</w:t>
            </w:r>
          </w:p>
          <w:p w:rsidR="00D525BD" w:rsidRPr="006F7B67" w:rsidRDefault="00D525BD" w:rsidP="003F584E">
            <w:pPr>
              <w:widowControl w:val="0"/>
              <w:tabs>
                <w:tab w:val="left" w:pos="151"/>
              </w:tabs>
              <w:spacing w:after="0" w:line="240" w:lineRule="auto"/>
              <w:jc w:val="both"/>
              <w:rPr>
                <w:bCs/>
                <w:sz w:val="24"/>
                <w:szCs w:val="24"/>
              </w:rPr>
            </w:pPr>
            <w:r w:rsidRPr="006F7B67">
              <w:rPr>
                <w:bCs/>
                <w:sz w:val="24"/>
                <w:szCs w:val="24"/>
              </w:rPr>
              <w:t xml:space="preserve">- </w:t>
            </w:r>
            <w:r w:rsidRPr="00721647">
              <w:rPr>
                <w:bCs/>
                <w:sz w:val="24"/>
                <w:szCs w:val="24"/>
              </w:rPr>
              <w:t>Thông tư 263/2016/TT-BTC ngày 14/11/2016 của Bộ Tài chính quy định mức thu, chế độ thu, nộp, quản lý và sử dụng phí, lệ phí sở hữu công nghiệp</w:t>
            </w:r>
            <w:r w:rsidRPr="006F7B67">
              <w:rPr>
                <w:bCs/>
                <w:sz w:val="24"/>
                <w:szCs w:val="24"/>
              </w:rPr>
              <w:t>.</w:t>
            </w:r>
          </w:p>
          <w:p w:rsidR="00D525BD" w:rsidRPr="006F7B67" w:rsidRDefault="00D525BD" w:rsidP="003F584E">
            <w:pPr>
              <w:widowControl w:val="0"/>
              <w:tabs>
                <w:tab w:val="left" w:pos="151"/>
              </w:tabs>
              <w:spacing w:after="0" w:line="240" w:lineRule="auto"/>
              <w:jc w:val="both"/>
              <w:rPr>
                <w:bCs/>
                <w:sz w:val="24"/>
                <w:szCs w:val="24"/>
              </w:rPr>
            </w:pPr>
            <w:r w:rsidRPr="006F7B67">
              <w:rPr>
                <w:bCs/>
                <w:sz w:val="24"/>
                <w:szCs w:val="24"/>
              </w:rPr>
              <w:t xml:space="preserve">- Quyết định số </w:t>
            </w:r>
            <w:r>
              <w:rPr>
                <w:bCs/>
                <w:sz w:val="24"/>
                <w:szCs w:val="24"/>
              </w:rPr>
              <w:t>2060</w:t>
            </w:r>
            <w:r w:rsidRPr="006F7B67">
              <w:rPr>
                <w:bCs/>
                <w:sz w:val="24"/>
                <w:szCs w:val="24"/>
              </w:rPr>
              <w:t xml:space="preserve">/QĐ-BKHCN ngày </w:t>
            </w:r>
            <w:r>
              <w:rPr>
                <w:bCs/>
                <w:sz w:val="24"/>
                <w:szCs w:val="24"/>
              </w:rPr>
              <w:t>13</w:t>
            </w:r>
            <w:r w:rsidRPr="006F7B67">
              <w:rPr>
                <w:bCs/>
                <w:sz w:val="24"/>
                <w:szCs w:val="24"/>
              </w:rPr>
              <w:t>/</w:t>
            </w:r>
            <w:r>
              <w:rPr>
                <w:bCs/>
                <w:sz w:val="24"/>
                <w:szCs w:val="24"/>
              </w:rPr>
              <w:t>9</w:t>
            </w:r>
            <w:r w:rsidRPr="006F7B67">
              <w:rPr>
                <w:bCs/>
                <w:sz w:val="24"/>
                <w:szCs w:val="24"/>
              </w:rPr>
              <w:t>/2023 của</w:t>
            </w:r>
            <w:r w:rsidRPr="00BF2B83">
              <w:rPr>
                <w:bCs/>
                <w:sz w:val="24"/>
                <w:szCs w:val="24"/>
              </w:rPr>
              <w:t xml:space="preserve"> Bộ trưởng Bộ Khoa học và Công nghệ về việc công bố thủ tục hành chính mới ban hành, thủ tục hành chính bị bãi bỏ trong lĩnh vực sở hữu trí thuộc phạm vi chức năng quản lý của Bộ Khoa học và Công nghệ</w:t>
            </w:r>
            <w:r>
              <w:rPr>
                <w:bCs/>
                <w:sz w:val="24"/>
                <w:szCs w:val="24"/>
              </w:rPr>
              <w:t>.</w:t>
            </w:r>
          </w:p>
        </w:tc>
      </w:tr>
    </w:tbl>
    <w:p w:rsidR="00D525BD" w:rsidRDefault="00D525BD">
      <w:bookmarkStart w:id="0" w:name="_GoBack"/>
      <w:bookmarkEnd w:id="0"/>
    </w:p>
    <w:sectPr w:rsidR="00D525BD" w:rsidSect="00D525B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BD"/>
    <w:rsid w:val="00D5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B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D525BD"/>
    <w:pPr>
      <w:spacing w:before="100" w:beforeAutospacing="1" w:after="100" w:afterAutospacing="1" w:line="240" w:lineRule="auto"/>
    </w:pPr>
    <w:rPr>
      <w:rFonts w:ascii="Verdana" w:eastAsia="Times New Roman"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B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iPriority w:val="99"/>
    <w:unhideWhenUsed/>
    <w:rsid w:val="00D525BD"/>
    <w:pPr>
      <w:spacing w:before="100" w:beforeAutospacing="1" w:after="100" w:afterAutospacing="1" w:line="240" w:lineRule="auto"/>
    </w:pPr>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2023-11-22T12:47:00Z</dcterms:created>
  <dcterms:modified xsi:type="dcterms:W3CDTF">2023-11-22T12:49:00Z</dcterms:modified>
</cp:coreProperties>
</file>